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>
      <w:pPr>
        <w:pStyle w:val="Nzov"/>
        <w:spacing w:line="259" w:lineRule="auto"/>
        <w:rPr>
          <w:u w:val="none"/>
        </w:rPr>
      </w:pPr>
      <w:r>
        <w:rPr>
          <w:noProof/>
          <w:lang w:eastAsia="sk-SK"/>
        </w:rPr>
        <w:drawing>
          <wp:inline distT="0" distB="0" distL="0" distR="0">
            <wp:extent cx="591185" cy="445135"/>
            <wp:effectExtent l="0" t="0" r="0" b="0"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185" cy="4451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Základná škola, Kudlovská 11,Humenné</w:t>
      </w:r>
    </w:p>
    <w:p>
      <w:pPr>
        <w:pStyle w:val="Nzov"/>
        <w:spacing w:line="259" w:lineRule="auto"/>
        <w:ind w:left="142"/>
        <w:jc w:val="both"/>
        <w:rPr>
          <w:b w:val="0"/>
          <w:bCs w:val="0"/>
          <w:sz w:val="36"/>
          <w:szCs w:val="22"/>
          <w:u w:val="none"/>
        </w:rPr>
      </w:pPr>
    </w:p>
    <w:p>
      <w:pPr>
        <w:pStyle w:val="Nzov"/>
        <w:spacing w:line="259" w:lineRule="auto"/>
        <w:ind w:left="142"/>
        <w:jc w:val="both"/>
        <w:rPr>
          <w:b w:val="0"/>
          <w:bCs w:val="0"/>
          <w:sz w:val="36"/>
          <w:szCs w:val="22"/>
          <w:u w:val="none"/>
        </w:rPr>
      </w:pPr>
    </w:p>
    <w:p>
      <w:pPr>
        <w:pStyle w:val="Nzov"/>
        <w:spacing w:line="259" w:lineRule="auto"/>
        <w:ind w:left="0"/>
        <w:jc w:val="both"/>
        <w:rPr>
          <w:b w:val="0"/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Názov projekt</w:t>
      </w:r>
      <w:r>
        <w:rPr>
          <w:bCs w:val="0"/>
          <w:sz w:val="28"/>
          <w:szCs w:val="28"/>
          <w:u w:val="none"/>
        </w:rPr>
        <w:t>u</w:t>
      </w:r>
      <w:r>
        <w:rPr>
          <w:bCs w:val="0"/>
          <w:sz w:val="28"/>
          <w:szCs w:val="28"/>
          <w:u w:val="none"/>
        </w:rPr>
        <w:t>:</w:t>
      </w:r>
      <w:r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>Pomáhajúce pr</w:t>
      </w:r>
      <w:r>
        <w:rPr>
          <w:b w:val="0"/>
          <w:bCs w:val="0"/>
          <w:sz w:val="28"/>
          <w:szCs w:val="28"/>
          <w:u w:val="none"/>
        </w:rPr>
        <w:t xml:space="preserve">ofesie v edukácii detí a žiakov </w:t>
      </w:r>
      <w:r>
        <w:rPr>
          <w:b w:val="0"/>
          <w:bCs w:val="0"/>
          <w:sz w:val="28"/>
          <w:szCs w:val="28"/>
          <w:u w:val="none"/>
        </w:rPr>
        <w:t>II.</w:t>
      </w:r>
    </w:p>
    <w:p>
      <w:pPr>
        <w:pStyle w:val="Nzov"/>
        <w:spacing w:line="259" w:lineRule="auto"/>
        <w:ind w:left="0"/>
        <w:jc w:val="both"/>
        <w:rPr>
          <w:b w:val="0"/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Kód projektu:</w:t>
      </w:r>
      <w:r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>312011AQI4</w:t>
      </w:r>
    </w:p>
    <w:p>
      <w:pPr>
        <w:pStyle w:val="Nzov"/>
        <w:spacing w:line="259" w:lineRule="auto"/>
        <w:ind w:left="0"/>
        <w:jc w:val="both"/>
        <w:rPr>
          <w:b w:val="0"/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Kód výzvy:</w:t>
      </w:r>
      <w:r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>OPLZ-PO1/2020/NP/1.1.1-03</w:t>
      </w:r>
    </w:p>
    <w:p>
      <w:pPr>
        <w:pStyle w:val="Nzov"/>
        <w:spacing w:line="259" w:lineRule="auto"/>
        <w:ind w:left="0"/>
        <w:jc w:val="both"/>
        <w:rPr>
          <w:b w:val="0"/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Operačný program:</w:t>
      </w:r>
      <w:r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>Operačný program Ľudské zdroje</w:t>
      </w:r>
    </w:p>
    <w:p>
      <w:pPr>
        <w:pStyle w:val="Nzov"/>
        <w:spacing w:line="259" w:lineRule="auto"/>
        <w:ind w:left="0"/>
        <w:jc w:val="both"/>
        <w:rPr>
          <w:b w:val="0"/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Spolufinancovaný fondom:</w:t>
      </w:r>
      <w:r>
        <w:rPr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 xml:space="preserve"> Európsky sociálny fond</w:t>
      </w:r>
    </w:p>
    <w:p>
      <w:pPr>
        <w:pStyle w:val="Nzov"/>
        <w:spacing w:line="259" w:lineRule="auto"/>
        <w:ind w:left="0"/>
        <w:jc w:val="both"/>
        <w:rPr>
          <w:b w:val="0"/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Prioritná os:</w:t>
      </w:r>
      <w:r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>1. Vzdelávanie</w:t>
      </w:r>
    </w:p>
    <w:p>
      <w:pPr>
        <w:pStyle w:val="Nzov"/>
        <w:spacing w:line="360" w:lineRule="auto"/>
        <w:ind w:left="0"/>
        <w:jc w:val="both"/>
        <w:rPr>
          <w:b w:val="0"/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Oblasť intervencie:</w:t>
      </w:r>
      <w:r>
        <w:rPr>
          <w:bCs w:val="0"/>
          <w:sz w:val="28"/>
          <w:szCs w:val="28"/>
          <w:u w:val="none"/>
        </w:rPr>
        <w:tab/>
      </w:r>
      <w:r>
        <w:rPr>
          <w:bCs w:val="0"/>
          <w:sz w:val="28"/>
          <w:szCs w:val="28"/>
          <w:u w:val="none"/>
        </w:rPr>
        <w:tab/>
      </w:r>
      <w:r>
        <w:rPr>
          <w:b w:val="0"/>
          <w:bCs w:val="0"/>
          <w:sz w:val="28"/>
          <w:szCs w:val="28"/>
          <w:u w:val="none"/>
        </w:rPr>
        <w:t>Zníženie miery predčasného ukončovania školskej dochádzky a predchádzanie takémuto ukončovaniu, a podpora rovnocenného prístupu ku kvalitnému predškolskému, zák</w:t>
      </w:r>
      <w:r>
        <w:rPr>
          <w:b w:val="0"/>
          <w:bCs w:val="0"/>
          <w:sz w:val="28"/>
          <w:szCs w:val="28"/>
          <w:u w:val="none"/>
        </w:rPr>
        <w:t>ladnému  a predoškolskému vzdelávaniu vrátane formálnych, neformálnych a bežných spôsobov vzdelávania za účelom opätovného začlenenia do vzdelávania a prípravy.</w:t>
      </w:r>
    </w:p>
    <w:p>
      <w:pPr>
        <w:pStyle w:val="Nzov"/>
        <w:spacing w:line="259" w:lineRule="auto"/>
        <w:ind w:left="0"/>
        <w:jc w:val="both"/>
        <w:rPr>
          <w:b w:val="0"/>
          <w:bCs w:val="0"/>
          <w:sz w:val="28"/>
          <w:szCs w:val="28"/>
          <w:u w:val="none"/>
        </w:rPr>
      </w:pPr>
      <w:r>
        <w:rPr>
          <w:bCs w:val="0"/>
          <w:sz w:val="28"/>
          <w:szCs w:val="28"/>
          <w:u w:val="none"/>
        </w:rPr>
        <w:t>Obdobie realizácie projektu:</w:t>
      </w:r>
      <w:r>
        <w:rPr>
          <w:b w:val="0"/>
          <w:bCs w:val="0"/>
          <w:sz w:val="28"/>
          <w:szCs w:val="28"/>
          <w:u w:val="none"/>
        </w:rPr>
        <w:t xml:space="preserve"> </w:t>
      </w:r>
      <w:r>
        <w:rPr>
          <w:b w:val="0"/>
          <w:bCs w:val="0"/>
          <w:sz w:val="28"/>
          <w:szCs w:val="28"/>
          <w:u w:val="none"/>
        </w:rPr>
        <w:tab/>
        <w:t>01. 09. 2021 – 31. 08. 2022</w:t>
      </w:r>
    </w:p>
    <w:p>
      <w:pPr>
        <w:spacing w:line="360" w:lineRule="auto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Ciele: </w:t>
      </w:r>
    </w:p>
    <w:p>
      <w:pPr>
        <w:spacing w:line="360" w:lineRule="auto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• </w:t>
      </w:r>
      <w:r>
        <w:rPr>
          <w:sz w:val="28"/>
          <w:szCs w:val="28"/>
        </w:rPr>
        <w:t>implementovať princípy inkluzívneho vzdeláv</w:t>
      </w:r>
      <w:r>
        <w:rPr>
          <w:bCs/>
          <w:sz w:val="28"/>
          <w:szCs w:val="28"/>
        </w:rPr>
        <w:t>ania v materských, základných a stredných školách</w:t>
      </w:r>
    </w:p>
    <w:p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•  vytvoriť predpoklady na výsledkov detí a žiakov,</w:t>
      </w:r>
    </w:p>
    <w:p>
      <w:pPr>
        <w:spacing w:line="360" w:lineRule="auto"/>
        <w:rPr>
          <w:bCs/>
          <w:sz w:val="28"/>
          <w:szCs w:val="28"/>
        </w:rPr>
      </w:pPr>
      <w:r>
        <w:rPr>
          <w:sz w:val="28"/>
          <w:szCs w:val="28"/>
        </w:rPr>
        <w:t>•  zvýšiť inkluzívnosť a rovnaký prístup ku kvalitnému vzdelávaniu.</w:t>
      </w:r>
    </w:p>
    <w:p>
      <w:pPr>
        <w:tabs>
          <w:tab w:val="left" w:pos="1057"/>
        </w:tabs>
        <w:spacing w:before="89" w:line="259" w:lineRule="auto"/>
        <w:ind w:left="2880" w:right="136" w:hanging="2880"/>
        <w:jc w:val="both"/>
        <w:rPr>
          <w:sz w:val="28"/>
          <w:szCs w:val="28"/>
        </w:rPr>
      </w:pPr>
      <w:r>
        <w:rPr>
          <w:b/>
          <w:sz w:val="28"/>
          <w:szCs w:val="28"/>
        </w:rPr>
        <w:t>Špecifický</w:t>
      </w:r>
      <w:r>
        <w:rPr>
          <w:b/>
          <w:spacing w:val="76"/>
          <w:w w:val="150"/>
          <w:sz w:val="28"/>
          <w:szCs w:val="28"/>
        </w:rPr>
        <w:t xml:space="preserve"> </w:t>
      </w:r>
      <w:r>
        <w:rPr>
          <w:b/>
          <w:sz w:val="28"/>
          <w:szCs w:val="28"/>
        </w:rPr>
        <w:t>cieľ:</w:t>
      </w:r>
      <w:r>
        <w:rPr>
          <w:spacing w:val="76"/>
          <w:w w:val="150"/>
          <w:sz w:val="28"/>
          <w:szCs w:val="28"/>
        </w:rPr>
        <w:t xml:space="preserve"> </w:t>
      </w:r>
      <w:r>
        <w:rPr>
          <w:sz w:val="28"/>
          <w:szCs w:val="28"/>
        </w:rPr>
        <w:t>Zvýšiť inkluzívnosť a</w:t>
      </w:r>
      <w:r>
        <w:rPr>
          <w:spacing w:val="-1"/>
          <w:sz w:val="28"/>
          <w:szCs w:val="28"/>
        </w:rPr>
        <w:t xml:space="preserve"> </w:t>
      </w:r>
      <w:r>
        <w:rPr>
          <w:sz w:val="28"/>
          <w:szCs w:val="28"/>
        </w:rPr>
        <w:t>rovnaký prístup ku kvalitnému vzdelávaniu a</w:t>
      </w:r>
    </w:p>
    <w:p>
      <w:pPr>
        <w:tabs>
          <w:tab w:val="left" w:pos="1057"/>
        </w:tabs>
        <w:spacing w:before="89" w:line="259" w:lineRule="auto"/>
        <w:ind w:left="2880" w:right="136" w:hanging="28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zlepšiť výsledky a kompetencie žiakov. </w:t>
      </w:r>
    </w:p>
    <w:p>
      <w:pPr>
        <w:tabs>
          <w:tab w:val="left" w:pos="1057"/>
        </w:tabs>
        <w:spacing w:before="89" w:line="259" w:lineRule="auto"/>
        <w:ind w:left="2880" w:right="136" w:hanging="2880"/>
        <w:jc w:val="both"/>
        <w:rPr>
          <w:sz w:val="28"/>
          <w:szCs w:val="28"/>
        </w:rPr>
      </w:pPr>
    </w:p>
    <w:p>
      <w:pPr>
        <w:tabs>
          <w:tab w:val="left" w:pos="1057"/>
        </w:tabs>
        <w:spacing w:before="89" w:line="259" w:lineRule="auto"/>
        <w:ind w:left="2880" w:right="136" w:hanging="2880"/>
        <w:jc w:val="both"/>
        <w:rPr>
          <w:sz w:val="28"/>
          <w:szCs w:val="28"/>
        </w:rPr>
        <w:sectPr>
          <w:pgSz w:w="11910" w:h="16840"/>
          <w:pgMar w:top="709" w:right="142" w:bottom="1560" w:left="1080" w:header="708" w:footer="708" w:gutter="0"/>
          <w:cols w:space="708"/>
          <w:docGrid w:linePitch="299"/>
        </w:sectPr>
      </w:pPr>
      <w:r>
        <w:rPr>
          <w:noProof/>
          <w:sz w:val="28"/>
          <w:szCs w:val="28"/>
          <w:lang w:eastAsia="sk-SK"/>
        </w:rPr>
        <w:drawing>
          <wp:inline distT="0" distB="0" distL="0" distR="0">
            <wp:extent cx="1235941" cy="682039"/>
            <wp:effectExtent l="0" t="0" r="2540" b="3810"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5941" cy="682039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 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1746983" cy="788960"/>
            <wp:effectExtent l="0" t="0" r="5715" b="0"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6983" cy="7889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1591684" cy="690831"/>
            <wp:effectExtent l="0" t="0" r="0" b="0"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91684" cy="69083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8"/>
          <w:szCs w:val="28"/>
        </w:rPr>
        <w:t xml:space="preserve">  </w:t>
      </w:r>
      <w:r>
        <w:rPr>
          <w:noProof/>
          <w:sz w:val="28"/>
          <w:szCs w:val="28"/>
          <w:lang w:eastAsia="sk-SK"/>
        </w:rPr>
        <w:drawing>
          <wp:inline distT="0" distB="0" distL="0" distR="0">
            <wp:extent cx="1707027" cy="586301"/>
            <wp:effectExtent l="0" t="0" r="7620" b="4445"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7027" cy="58630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>
      <w:pPr>
        <w:pStyle w:val="Zkladntext"/>
        <w:spacing w:before="4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V období od 1.septembra</w:t>
      </w:r>
      <w:r>
        <w:rPr>
          <w:sz w:val="24"/>
          <w:szCs w:val="24"/>
        </w:rPr>
        <w:t xml:space="preserve"> 2021 do 31.augusta 2022 participuje Základná škola,</w:t>
      </w:r>
      <w:r>
        <w:rPr>
          <w:sz w:val="24"/>
          <w:szCs w:val="24"/>
        </w:rPr>
        <w:t xml:space="preserve">Kudlovská 11, Humenné </w:t>
      </w:r>
      <w:r>
        <w:rPr>
          <w:sz w:val="24"/>
          <w:szCs w:val="24"/>
        </w:rPr>
        <w:t xml:space="preserve"> v Národnom projekte s názvom Pomáhajúce profesie v edukácii detí a žiakov v rámci OP Ľudské zdroje. V pro</w:t>
      </w:r>
      <w:r>
        <w:rPr>
          <w:sz w:val="24"/>
          <w:szCs w:val="24"/>
        </w:rPr>
        <w:t xml:space="preserve">jekte vytvorila a obsadila v štyri pracovné pozície </w:t>
      </w:r>
      <w:r>
        <w:rPr>
          <w:sz w:val="24"/>
          <w:szCs w:val="24"/>
        </w:rPr>
        <w:t xml:space="preserve"> asistentov </w:t>
      </w:r>
      <w:r>
        <w:rPr>
          <w:sz w:val="24"/>
          <w:szCs w:val="24"/>
        </w:rPr>
        <w:t xml:space="preserve">učiteľa, jednu pracovnú pozíciu školského špeciálneho pedagóga </w:t>
      </w:r>
      <w:r>
        <w:rPr>
          <w:sz w:val="24"/>
          <w:szCs w:val="24"/>
        </w:rPr>
        <w:t>a jednu pracovnú pozíciu sociálneho pedagóga.</w:t>
      </w:r>
    </w:p>
    <w:p>
      <w:pPr>
        <w:pStyle w:val="Zkladntext"/>
        <w:spacing w:before="4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Cieľovou skupinou sú žiaci so špeciálnymi výchovno-vzdelávacími potrebami, prioritne žiaci pochádzajúci zo sociálne znevýhodneného prostredia. Do aktivít v rámci projektu budú vhodne zapájaní i intaktní žiaci. Projekt je zameraný najmä na tri hlavné oblasti: výchovno-vzdelávací proces, práca so žiakmi v mimovyučovacích aktivitách a spolupráca s rodinou.</w:t>
      </w:r>
    </w:p>
    <w:p>
      <w:pPr>
        <w:pStyle w:val="Zkladntext"/>
        <w:spacing w:before="4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Vo výchovno-vzdelávacom procese je prvoradá spolupráca s učiteľom v triede a pedagogickými zamestnancami školy, aby sa uľahčila adaptácia žiaka na nové prostredie, pri čom je často nevyhnutná pomoc s prekonávaním jazykových, sociálnych či kultúrnych bariér, k čomu napomáha aj organizovanie vyučovacích hodín pre zákonných zástupcov a veľmi dôležitou súčasťou procesu je aj pomoc pri príprave učebných pomôcok.</w:t>
      </w:r>
    </w:p>
    <w:p>
      <w:pPr>
        <w:pStyle w:val="Zkladntext"/>
        <w:spacing w:before="4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Mimovyučovacie aktivity sú kľúčové v upevnení spolupráce a upevnení dôležitých vzťahov medzi žiakmi, zákonnými zástupcami a pedagogickými zamestnancami. Aktivity zahŕňajú preventívne a osvetové programy, voľnočasové aktivity (krúžky), návštevu historických a kultúrnych pamiatok, letná škola a iné.</w:t>
      </w:r>
    </w:p>
    <w:p>
      <w:pPr>
        <w:pStyle w:val="Zkladntext"/>
        <w:spacing w:before="4" w:line="360" w:lineRule="auto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Spolupráca s rodinou je základným pilierom úspechu projektu, keďže rodina predstavuje neoddeliteľnú časť vzdelávania, pretože poznanie rodinného zázemia žiaka pomáha odhaliť skryté problémy v správaní sa a učení žiaka.</w:t>
      </w:r>
    </w:p>
    <w:p>
      <w:pPr>
        <w:pStyle w:val="Zkladntext"/>
        <w:spacing w:before="4" w:line="360" w:lineRule="auto"/>
        <w:jc w:val="both"/>
        <w:rPr>
          <w:sz w:val="24"/>
          <w:szCs w:val="24"/>
        </w:rPr>
      </w:pPr>
    </w:p>
    <w:p>
      <w:pPr>
        <w:pStyle w:val="Zkladntext"/>
        <w:spacing w:before="4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Sme veľmi radi, že základná škola dostala možnosť zapojiť sa do národného projektu, ktorý podporí kvalitný výchovno-vzdelávací proces žiakov školy. Je zároveň predpokladom a odrazovým mostíkom k ich úspešnejšej budúcnosti.</w:t>
      </w:r>
    </w:p>
    <w:p>
      <w:pPr>
        <w:pStyle w:val="Zkladntext"/>
        <w:spacing w:before="4"/>
        <w:jc w:val="both"/>
        <w:rPr>
          <w:sz w:val="24"/>
          <w:szCs w:val="24"/>
        </w:rPr>
      </w:pPr>
    </w:p>
    <w:sectPr>
      <w:pgSz w:w="11910" w:h="16840"/>
      <w:pgMar w:top="1920" w:right="1280" w:bottom="280" w:left="108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739C1"/>
    <w:multiLevelType w:val="hybridMultilevel"/>
    <w:tmpl w:val="AD5AF9F0"/>
    <w:lvl w:ilvl="0" w:tplc="232A68D2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02429"/>
        <w:w w:val="99"/>
        <w:sz w:val="20"/>
        <w:szCs w:val="20"/>
        <w:lang w:val="sk-SK" w:eastAsia="en-US" w:bidi="ar-SA"/>
      </w:rPr>
    </w:lvl>
    <w:lvl w:ilvl="1" w:tplc="CD0A6D3A">
      <w:numFmt w:val="bullet"/>
      <w:lvlText w:val="•"/>
      <w:lvlJc w:val="left"/>
      <w:pPr>
        <w:ind w:left="678" w:hanging="360"/>
      </w:pPr>
      <w:rPr>
        <w:rFonts w:hint="default"/>
        <w:lang w:val="sk-SK" w:eastAsia="en-US" w:bidi="ar-SA"/>
      </w:rPr>
    </w:lvl>
    <w:lvl w:ilvl="2" w:tplc="E5464C3E">
      <w:numFmt w:val="bullet"/>
      <w:lvlText w:val="•"/>
      <w:lvlJc w:val="left"/>
      <w:pPr>
        <w:ind w:left="996" w:hanging="360"/>
      </w:pPr>
      <w:rPr>
        <w:rFonts w:hint="default"/>
        <w:lang w:val="sk-SK" w:eastAsia="en-US" w:bidi="ar-SA"/>
      </w:rPr>
    </w:lvl>
    <w:lvl w:ilvl="3" w:tplc="6D20F7E2">
      <w:numFmt w:val="bullet"/>
      <w:lvlText w:val="•"/>
      <w:lvlJc w:val="left"/>
      <w:pPr>
        <w:ind w:left="1314" w:hanging="360"/>
      </w:pPr>
      <w:rPr>
        <w:rFonts w:hint="default"/>
        <w:lang w:val="sk-SK" w:eastAsia="en-US" w:bidi="ar-SA"/>
      </w:rPr>
    </w:lvl>
    <w:lvl w:ilvl="4" w:tplc="37A640FA">
      <w:numFmt w:val="bullet"/>
      <w:lvlText w:val="•"/>
      <w:lvlJc w:val="left"/>
      <w:pPr>
        <w:ind w:left="1632" w:hanging="360"/>
      </w:pPr>
      <w:rPr>
        <w:rFonts w:hint="default"/>
        <w:lang w:val="sk-SK" w:eastAsia="en-US" w:bidi="ar-SA"/>
      </w:rPr>
    </w:lvl>
    <w:lvl w:ilvl="5" w:tplc="36B089CC">
      <w:numFmt w:val="bullet"/>
      <w:lvlText w:val="•"/>
      <w:lvlJc w:val="left"/>
      <w:pPr>
        <w:ind w:left="1951" w:hanging="360"/>
      </w:pPr>
      <w:rPr>
        <w:rFonts w:hint="default"/>
        <w:lang w:val="sk-SK" w:eastAsia="en-US" w:bidi="ar-SA"/>
      </w:rPr>
    </w:lvl>
    <w:lvl w:ilvl="6" w:tplc="EA1858D0">
      <w:numFmt w:val="bullet"/>
      <w:lvlText w:val="•"/>
      <w:lvlJc w:val="left"/>
      <w:pPr>
        <w:ind w:left="2269" w:hanging="360"/>
      </w:pPr>
      <w:rPr>
        <w:rFonts w:hint="default"/>
        <w:lang w:val="sk-SK" w:eastAsia="en-US" w:bidi="ar-SA"/>
      </w:rPr>
    </w:lvl>
    <w:lvl w:ilvl="7" w:tplc="BEF2DADC">
      <w:numFmt w:val="bullet"/>
      <w:lvlText w:val="•"/>
      <w:lvlJc w:val="left"/>
      <w:pPr>
        <w:ind w:left="2587" w:hanging="360"/>
      </w:pPr>
      <w:rPr>
        <w:rFonts w:hint="default"/>
        <w:lang w:val="sk-SK" w:eastAsia="en-US" w:bidi="ar-SA"/>
      </w:rPr>
    </w:lvl>
    <w:lvl w:ilvl="8" w:tplc="D450AA1A">
      <w:numFmt w:val="bullet"/>
      <w:lvlText w:val="•"/>
      <w:lvlJc w:val="left"/>
      <w:pPr>
        <w:ind w:left="2905" w:hanging="360"/>
      </w:pPr>
      <w:rPr>
        <w:rFonts w:hint="default"/>
        <w:lang w:val="sk-SK" w:eastAsia="en-US" w:bidi="ar-SA"/>
      </w:rPr>
    </w:lvl>
  </w:abstractNum>
  <w:abstractNum w:abstractNumId="1" w15:restartNumberingAfterBreak="0">
    <w:nsid w:val="187A3DA4"/>
    <w:multiLevelType w:val="hybridMultilevel"/>
    <w:tmpl w:val="F9AA9A64"/>
    <w:lvl w:ilvl="0" w:tplc="6E6C8774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02429"/>
        <w:w w:val="99"/>
        <w:sz w:val="20"/>
        <w:szCs w:val="20"/>
        <w:lang w:val="sk-SK" w:eastAsia="en-US" w:bidi="ar-SA"/>
      </w:rPr>
    </w:lvl>
    <w:lvl w:ilvl="1" w:tplc="DA602EDC">
      <w:numFmt w:val="bullet"/>
      <w:lvlText w:val="•"/>
      <w:lvlJc w:val="left"/>
      <w:pPr>
        <w:ind w:left="1105" w:hanging="360"/>
      </w:pPr>
      <w:rPr>
        <w:rFonts w:hint="default"/>
        <w:lang w:val="sk-SK" w:eastAsia="en-US" w:bidi="ar-SA"/>
      </w:rPr>
    </w:lvl>
    <w:lvl w:ilvl="2" w:tplc="1EDC527A">
      <w:numFmt w:val="bullet"/>
      <w:lvlText w:val="•"/>
      <w:lvlJc w:val="left"/>
      <w:pPr>
        <w:ind w:left="1850" w:hanging="360"/>
      </w:pPr>
      <w:rPr>
        <w:rFonts w:hint="default"/>
        <w:lang w:val="sk-SK" w:eastAsia="en-US" w:bidi="ar-SA"/>
      </w:rPr>
    </w:lvl>
    <w:lvl w:ilvl="3" w:tplc="A754C40A">
      <w:numFmt w:val="bullet"/>
      <w:lvlText w:val="•"/>
      <w:lvlJc w:val="left"/>
      <w:pPr>
        <w:ind w:left="2596" w:hanging="360"/>
      </w:pPr>
      <w:rPr>
        <w:rFonts w:hint="default"/>
        <w:lang w:val="sk-SK" w:eastAsia="en-US" w:bidi="ar-SA"/>
      </w:rPr>
    </w:lvl>
    <w:lvl w:ilvl="4" w:tplc="702E0670">
      <w:numFmt w:val="bullet"/>
      <w:lvlText w:val="•"/>
      <w:lvlJc w:val="left"/>
      <w:pPr>
        <w:ind w:left="3341" w:hanging="360"/>
      </w:pPr>
      <w:rPr>
        <w:rFonts w:hint="default"/>
        <w:lang w:val="sk-SK" w:eastAsia="en-US" w:bidi="ar-SA"/>
      </w:rPr>
    </w:lvl>
    <w:lvl w:ilvl="5" w:tplc="5C36D678">
      <w:numFmt w:val="bullet"/>
      <w:lvlText w:val="•"/>
      <w:lvlJc w:val="left"/>
      <w:pPr>
        <w:ind w:left="4086" w:hanging="360"/>
      </w:pPr>
      <w:rPr>
        <w:rFonts w:hint="default"/>
        <w:lang w:val="sk-SK" w:eastAsia="en-US" w:bidi="ar-SA"/>
      </w:rPr>
    </w:lvl>
    <w:lvl w:ilvl="6" w:tplc="369EC05C">
      <w:numFmt w:val="bullet"/>
      <w:lvlText w:val="•"/>
      <w:lvlJc w:val="left"/>
      <w:pPr>
        <w:ind w:left="4832" w:hanging="360"/>
      </w:pPr>
      <w:rPr>
        <w:rFonts w:hint="default"/>
        <w:lang w:val="sk-SK" w:eastAsia="en-US" w:bidi="ar-SA"/>
      </w:rPr>
    </w:lvl>
    <w:lvl w:ilvl="7" w:tplc="44EA5B4C">
      <w:numFmt w:val="bullet"/>
      <w:lvlText w:val="•"/>
      <w:lvlJc w:val="left"/>
      <w:pPr>
        <w:ind w:left="5577" w:hanging="360"/>
      </w:pPr>
      <w:rPr>
        <w:rFonts w:hint="default"/>
        <w:lang w:val="sk-SK" w:eastAsia="en-US" w:bidi="ar-SA"/>
      </w:rPr>
    </w:lvl>
    <w:lvl w:ilvl="8" w:tplc="C9B24140">
      <w:numFmt w:val="bullet"/>
      <w:lvlText w:val="•"/>
      <w:lvlJc w:val="left"/>
      <w:pPr>
        <w:ind w:left="6322" w:hanging="360"/>
      </w:pPr>
      <w:rPr>
        <w:rFonts w:hint="default"/>
        <w:lang w:val="sk-SK" w:eastAsia="en-US" w:bidi="ar-SA"/>
      </w:rPr>
    </w:lvl>
  </w:abstractNum>
  <w:abstractNum w:abstractNumId="2" w15:restartNumberingAfterBreak="0">
    <w:nsid w:val="42D63E68"/>
    <w:multiLevelType w:val="hybridMultilevel"/>
    <w:tmpl w:val="C0C266B2"/>
    <w:lvl w:ilvl="0" w:tplc="420ADD4C">
      <w:start w:val="1"/>
      <w:numFmt w:val="decimal"/>
      <w:lvlText w:val="%1."/>
      <w:lvlJc w:val="left"/>
      <w:pPr>
        <w:ind w:left="1056" w:hanging="36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8"/>
        <w:szCs w:val="28"/>
        <w:lang w:val="sk-SK" w:eastAsia="en-US" w:bidi="ar-SA"/>
      </w:rPr>
    </w:lvl>
    <w:lvl w:ilvl="1" w:tplc="33EC3A00">
      <w:numFmt w:val="bullet"/>
      <w:lvlText w:val="•"/>
      <w:lvlJc w:val="left"/>
      <w:pPr>
        <w:ind w:left="1908" w:hanging="360"/>
      </w:pPr>
      <w:rPr>
        <w:rFonts w:hint="default"/>
        <w:lang w:val="sk-SK" w:eastAsia="en-US" w:bidi="ar-SA"/>
      </w:rPr>
    </w:lvl>
    <w:lvl w:ilvl="2" w:tplc="90441640">
      <w:numFmt w:val="bullet"/>
      <w:lvlText w:val="•"/>
      <w:lvlJc w:val="left"/>
      <w:pPr>
        <w:ind w:left="2757" w:hanging="360"/>
      </w:pPr>
      <w:rPr>
        <w:rFonts w:hint="default"/>
        <w:lang w:val="sk-SK" w:eastAsia="en-US" w:bidi="ar-SA"/>
      </w:rPr>
    </w:lvl>
    <w:lvl w:ilvl="3" w:tplc="E40C4F18">
      <w:numFmt w:val="bullet"/>
      <w:lvlText w:val="•"/>
      <w:lvlJc w:val="left"/>
      <w:pPr>
        <w:ind w:left="3605" w:hanging="360"/>
      </w:pPr>
      <w:rPr>
        <w:rFonts w:hint="default"/>
        <w:lang w:val="sk-SK" w:eastAsia="en-US" w:bidi="ar-SA"/>
      </w:rPr>
    </w:lvl>
    <w:lvl w:ilvl="4" w:tplc="B3E8590C">
      <w:numFmt w:val="bullet"/>
      <w:lvlText w:val="•"/>
      <w:lvlJc w:val="left"/>
      <w:pPr>
        <w:ind w:left="4454" w:hanging="360"/>
      </w:pPr>
      <w:rPr>
        <w:rFonts w:hint="default"/>
        <w:lang w:val="sk-SK" w:eastAsia="en-US" w:bidi="ar-SA"/>
      </w:rPr>
    </w:lvl>
    <w:lvl w:ilvl="5" w:tplc="807CA504">
      <w:numFmt w:val="bullet"/>
      <w:lvlText w:val="•"/>
      <w:lvlJc w:val="left"/>
      <w:pPr>
        <w:ind w:left="5303" w:hanging="360"/>
      </w:pPr>
      <w:rPr>
        <w:rFonts w:hint="default"/>
        <w:lang w:val="sk-SK" w:eastAsia="en-US" w:bidi="ar-SA"/>
      </w:rPr>
    </w:lvl>
    <w:lvl w:ilvl="6" w:tplc="2B2CA3F4">
      <w:numFmt w:val="bullet"/>
      <w:lvlText w:val="•"/>
      <w:lvlJc w:val="left"/>
      <w:pPr>
        <w:ind w:left="6151" w:hanging="360"/>
      </w:pPr>
      <w:rPr>
        <w:rFonts w:hint="default"/>
        <w:lang w:val="sk-SK" w:eastAsia="en-US" w:bidi="ar-SA"/>
      </w:rPr>
    </w:lvl>
    <w:lvl w:ilvl="7" w:tplc="6E8C6330">
      <w:numFmt w:val="bullet"/>
      <w:lvlText w:val="•"/>
      <w:lvlJc w:val="left"/>
      <w:pPr>
        <w:ind w:left="7000" w:hanging="360"/>
      </w:pPr>
      <w:rPr>
        <w:rFonts w:hint="default"/>
        <w:lang w:val="sk-SK" w:eastAsia="en-US" w:bidi="ar-SA"/>
      </w:rPr>
    </w:lvl>
    <w:lvl w:ilvl="8" w:tplc="B3D0BEB4">
      <w:numFmt w:val="bullet"/>
      <w:lvlText w:val="•"/>
      <w:lvlJc w:val="left"/>
      <w:pPr>
        <w:ind w:left="7849" w:hanging="360"/>
      </w:pPr>
      <w:rPr>
        <w:rFonts w:hint="default"/>
        <w:lang w:val="sk-SK" w:eastAsia="en-US" w:bidi="ar-SA"/>
      </w:rPr>
    </w:lvl>
  </w:abstractNum>
  <w:abstractNum w:abstractNumId="3" w15:restartNumberingAfterBreak="0">
    <w:nsid w:val="5B8252D5"/>
    <w:multiLevelType w:val="hybridMultilevel"/>
    <w:tmpl w:val="0396EAD8"/>
    <w:lvl w:ilvl="0" w:tplc="F0186140">
      <w:numFmt w:val="bullet"/>
      <w:lvlText w:val=""/>
      <w:lvlJc w:val="left"/>
      <w:pPr>
        <w:ind w:left="360" w:hanging="360"/>
      </w:pPr>
      <w:rPr>
        <w:rFonts w:ascii="Symbol" w:eastAsia="Symbol" w:hAnsi="Symbol" w:cs="Symbol" w:hint="default"/>
        <w:b w:val="0"/>
        <w:bCs w:val="0"/>
        <w:i w:val="0"/>
        <w:iCs w:val="0"/>
        <w:color w:val="202429"/>
        <w:w w:val="99"/>
        <w:sz w:val="20"/>
        <w:szCs w:val="20"/>
        <w:lang w:val="sk-SK" w:eastAsia="en-US" w:bidi="ar-SA"/>
      </w:rPr>
    </w:lvl>
    <w:lvl w:ilvl="1" w:tplc="4858E690">
      <w:numFmt w:val="bullet"/>
      <w:lvlText w:val="•"/>
      <w:lvlJc w:val="left"/>
      <w:pPr>
        <w:ind w:left="1125" w:hanging="360"/>
      </w:pPr>
      <w:rPr>
        <w:rFonts w:hint="default"/>
        <w:lang w:val="sk-SK" w:eastAsia="en-US" w:bidi="ar-SA"/>
      </w:rPr>
    </w:lvl>
    <w:lvl w:ilvl="2" w:tplc="ACBE8A64">
      <w:numFmt w:val="bullet"/>
      <w:lvlText w:val="•"/>
      <w:lvlJc w:val="left"/>
      <w:pPr>
        <w:ind w:left="1891" w:hanging="360"/>
      </w:pPr>
      <w:rPr>
        <w:rFonts w:hint="default"/>
        <w:lang w:val="sk-SK" w:eastAsia="en-US" w:bidi="ar-SA"/>
      </w:rPr>
    </w:lvl>
    <w:lvl w:ilvl="3" w:tplc="A704EB2C">
      <w:numFmt w:val="bullet"/>
      <w:lvlText w:val="•"/>
      <w:lvlJc w:val="left"/>
      <w:pPr>
        <w:ind w:left="2656" w:hanging="360"/>
      </w:pPr>
      <w:rPr>
        <w:rFonts w:hint="default"/>
        <w:lang w:val="sk-SK" w:eastAsia="en-US" w:bidi="ar-SA"/>
      </w:rPr>
    </w:lvl>
    <w:lvl w:ilvl="4" w:tplc="B01C8D6E">
      <w:numFmt w:val="bullet"/>
      <w:lvlText w:val="•"/>
      <w:lvlJc w:val="left"/>
      <w:pPr>
        <w:ind w:left="3422" w:hanging="360"/>
      </w:pPr>
      <w:rPr>
        <w:rFonts w:hint="default"/>
        <w:lang w:val="sk-SK" w:eastAsia="en-US" w:bidi="ar-SA"/>
      </w:rPr>
    </w:lvl>
    <w:lvl w:ilvl="5" w:tplc="1AFA611C">
      <w:numFmt w:val="bullet"/>
      <w:lvlText w:val="•"/>
      <w:lvlJc w:val="left"/>
      <w:pPr>
        <w:ind w:left="4187" w:hanging="360"/>
      </w:pPr>
      <w:rPr>
        <w:rFonts w:hint="default"/>
        <w:lang w:val="sk-SK" w:eastAsia="en-US" w:bidi="ar-SA"/>
      </w:rPr>
    </w:lvl>
    <w:lvl w:ilvl="6" w:tplc="02D631DA">
      <w:numFmt w:val="bullet"/>
      <w:lvlText w:val="•"/>
      <w:lvlJc w:val="left"/>
      <w:pPr>
        <w:ind w:left="4953" w:hanging="360"/>
      </w:pPr>
      <w:rPr>
        <w:rFonts w:hint="default"/>
        <w:lang w:val="sk-SK" w:eastAsia="en-US" w:bidi="ar-SA"/>
      </w:rPr>
    </w:lvl>
    <w:lvl w:ilvl="7" w:tplc="CC0EC768">
      <w:numFmt w:val="bullet"/>
      <w:lvlText w:val="•"/>
      <w:lvlJc w:val="left"/>
      <w:pPr>
        <w:ind w:left="5718" w:hanging="360"/>
      </w:pPr>
      <w:rPr>
        <w:rFonts w:hint="default"/>
        <w:lang w:val="sk-SK" w:eastAsia="en-US" w:bidi="ar-SA"/>
      </w:rPr>
    </w:lvl>
    <w:lvl w:ilvl="8" w:tplc="81AC2FDA">
      <w:numFmt w:val="bullet"/>
      <w:lvlText w:val="•"/>
      <w:lvlJc w:val="left"/>
      <w:pPr>
        <w:ind w:left="6484" w:hanging="360"/>
      </w:pPr>
      <w:rPr>
        <w:rFonts w:hint="default"/>
        <w:lang w:val="sk-SK" w:eastAsia="en-US" w:bidi="ar-SA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8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42D7DBB-4D1E-46F2-8D89-25877F8E80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Pr>
      <w:rFonts w:ascii="Times New Roman" w:eastAsia="Times New Roman" w:hAnsi="Times New Roman" w:cs="Times New Roman"/>
      <w:lang w:val="sk-SK"/>
    </w:rPr>
  </w:style>
  <w:style w:type="paragraph" w:styleId="Nadpis1">
    <w:name w:val="heading 1"/>
    <w:basedOn w:val="Normlny"/>
    <w:uiPriority w:val="1"/>
    <w:qFormat/>
    <w:pPr>
      <w:spacing w:before="32"/>
      <w:ind w:left="336"/>
      <w:outlineLvl w:val="0"/>
    </w:pPr>
    <w:rPr>
      <w:sz w:val="36"/>
      <w:szCs w:val="36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y"/>
    <w:uiPriority w:val="1"/>
    <w:qFormat/>
    <w:rPr>
      <w:sz w:val="28"/>
      <w:szCs w:val="28"/>
    </w:rPr>
  </w:style>
  <w:style w:type="paragraph" w:styleId="Nzov">
    <w:name w:val="Title"/>
    <w:basedOn w:val="Normlny"/>
    <w:uiPriority w:val="1"/>
    <w:qFormat/>
    <w:pPr>
      <w:spacing w:before="59"/>
      <w:ind w:left="1076" w:right="880"/>
      <w:jc w:val="center"/>
    </w:pPr>
    <w:rPr>
      <w:b/>
      <w:bCs/>
      <w:sz w:val="40"/>
      <w:szCs w:val="40"/>
      <w:u w:val="single" w:color="000000"/>
    </w:rPr>
  </w:style>
  <w:style w:type="paragraph" w:styleId="Odsekzoznamu">
    <w:name w:val="List Paragraph"/>
    <w:basedOn w:val="Normlny"/>
    <w:uiPriority w:val="1"/>
    <w:qFormat/>
    <w:pPr>
      <w:ind w:left="1056" w:right="133" w:hanging="360"/>
      <w:jc w:val="both"/>
    </w:pPr>
  </w:style>
  <w:style w:type="paragraph" w:customStyle="1" w:styleId="TableParagraph">
    <w:name w:val="Table Paragraph"/>
    <w:basedOn w:val="Normlny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230A54-3648-4449-9FE6-9534D24E055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441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ZŠ Brestovany</dc:creator>
  <cp:lastModifiedBy>Uzivatel</cp:lastModifiedBy>
  <cp:revision>3</cp:revision>
  <dcterms:created xsi:type="dcterms:W3CDTF">2022-01-17T17:00:00Z</dcterms:created>
  <dcterms:modified xsi:type="dcterms:W3CDTF">2022-01-17T17:16:00Z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2022-01-17T00:00:00Z</vt:filetime>
  </property>
</Properties>
</file>